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香河县工商业联合会</w:t>
      </w:r>
      <w:r>
        <w:rPr>
          <w:rFonts w:cs="Times New Roman" w:asciiTheme="majorEastAsia" w:hAnsiTheme="majorEastAsia" w:eastAsiaTheme="majorEastAsia"/>
          <w:b/>
          <w:sz w:val="44"/>
          <w:szCs w:val="44"/>
        </w:rPr>
        <w:t>2017年部门预算信息公开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香河县工商业联合会</w:t>
      </w:r>
      <w:r>
        <w:rPr>
          <w:rFonts w:ascii="仿宋" w:hAnsi="仿宋" w:eastAsia="仿宋" w:cs="Times New Roman"/>
          <w:sz w:val="32"/>
          <w:szCs w:val="32"/>
        </w:rPr>
        <w:t>2017年部门预算公开如下：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1、参政议政，参与我县经济、社会重要决策的政治协商，做好非公有制代表人士政治安排的推荐工作。</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2、宣传党和国家的方针政策，加强和改进思想政治工作、提高本会会员素质，培养骨干分子队伍。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3、维护本会会员合法权益，向政府反映会员的意见、要求和建议。</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4、为本会会员提供市场技术、商品信息，按照国家有关规定，为会员提供管理、法律、会计、审计、融资、咨询等职务。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5、组织本会会员举办和参加对外展销会、交易会、帮助会员开拓国内外市场。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6、为本会会员提供必要的证明，协调关系，为会员和民间企业调解经济纠纷。</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7、增进与台、港、澳地区和世界各国工商社团的联系和友谊，协助引进资金、技术、人才。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8、承办县委、县政府和有关部门委托事项。</w:t>
      </w:r>
    </w:p>
    <w:p>
      <w:pPr>
        <w:ind w:firstLine="643" w:firstLineChars="200"/>
        <w:rPr>
          <w:rFonts w:ascii="仿宋" w:hAnsi="仿宋" w:eastAsia="仿宋" w:cs="Times New Roman"/>
          <w:sz w:val="32"/>
          <w:szCs w:val="24"/>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香河县工商业联合会</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行政单位</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r>
        <w:rPr>
          <w:rFonts w:hint="eastAsia" w:ascii="仿宋" w:hAnsi="仿宋" w:eastAsia="仿宋"/>
          <w:sz w:val="32"/>
          <w:szCs w:val="32"/>
          <w:lang w:eastAsia="zh-CN"/>
        </w:rPr>
        <w:t>本单位无下属单位，</w:t>
      </w:r>
      <w:r>
        <w:rPr>
          <w:rFonts w:hint="eastAsia" w:ascii="仿宋" w:hAnsi="仿宋" w:eastAsia="仿宋" w:cs="Times New Roman"/>
          <w:sz w:val="32"/>
          <w:szCs w:val="32"/>
        </w:rPr>
        <w:t>只包括本单位预算，不包含下属单位预算在汇总预算中。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反映本部门当年全部收入。2017年预算收入</w:t>
      </w:r>
      <w:r>
        <w:rPr>
          <w:rFonts w:hint="eastAsia" w:ascii="仿宋" w:hAnsi="仿宋" w:eastAsia="仿宋" w:cs="Times New Roman"/>
          <w:sz w:val="32"/>
          <w:szCs w:val="32"/>
        </w:rPr>
        <w:t>105.72</w:t>
      </w:r>
      <w:r>
        <w:rPr>
          <w:rFonts w:ascii="仿宋" w:hAnsi="仿宋" w:eastAsia="仿宋" w:cs="Times New Roman"/>
          <w:sz w:val="32"/>
          <w:szCs w:val="32"/>
        </w:rPr>
        <w:t>万元，其中：一般公共预算收入</w:t>
      </w:r>
      <w:r>
        <w:rPr>
          <w:rFonts w:hint="eastAsia" w:ascii="仿宋" w:hAnsi="仿宋" w:eastAsia="仿宋" w:cs="Times New Roman"/>
          <w:sz w:val="32"/>
          <w:szCs w:val="32"/>
        </w:rPr>
        <w:t>105.72</w:t>
      </w:r>
      <w:r>
        <w:rPr>
          <w:rFonts w:ascii="仿宋" w:hAnsi="仿宋" w:eastAsia="仿宋" w:cs="Times New Roman"/>
          <w:sz w:val="32"/>
          <w:szCs w:val="32"/>
        </w:rPr>
        <w:t>万元</w:t>
      </w:r>
      <w:r>
        <w:rPr>
          <w:rFonts w:hint="eastAsia" w:ascii="仿宋" w:hAnsi="仿宋" w:eastAsia="仿宋" w:cs="Times New Roman"/>
          <w:sz w:val="32"/>
          <w:szCs w:val="32"/>
        </w:rPr>
        <w:t>,</w:t>
      </w:r>
      <w:r>
        <w:rPr>
          <w:rFonts w:hint="eastAsia" w:ascii="仿宋" w:hAnsi="仿宋" w:eastAsia="仿宋"/>
          <w:sz w:val="32"/>
          <w:szCs w:val="32"/>
        </w:rPr>
        <w:t>财政专户核拨资金</w:t>
      </w:r>
      <w:r>
        <w:rPr>
          <w:rFonts w:hint="eastAsia" w:ascii="仿宋" w:hAnsi="仿宋" w:eastAsia="仿宋" w:cs="Times New Roman"/>
          <w:sz w:val="32"/>
          <w:szCs w:val="32"/>
        </w:rPr>
        <w:t>0</w:t>
      </w:r>
      <w:r>
        <w:rPr>
          <w:rFonts w:hint="eastAsia" w:ascii="仿宋" w:hAnsi="仿宋" w:eastAsia="仿宋"/>
          <w:sz w:val="32"/>
          <w:szCs w:val="32"/>
        </w:rPr>
        <w:t>万元，政府性基金收入</w:t>
      </w:r>
      <w:r>
        <w:rPr>
          <w:rFonts w:hint="eastAsia" w:ascii="仿宋" w:hAnsi="仿宋" w:eastAsia="仿宋" w:cs="Times New Roman"/>
          <w:sz w:val="32"/>
          <w:szCs w:val="32"/>
        </w:rPr>
        <w:t>0</w:t>
      </w:r>
      <w:r>
        <w:rPr>
          <w:rFonts w:hint="eastAsia" w:ascii="仿宋" w:hAnsi="仿宋" w:eastAsia="仿宋"/>
          <w:sz w:val="32"/>
          <w:szCs w:val="32"/>
        </w:rPr>
        <w:t>万元，国有资本经营预算收入</w:t>
      </w:r>
      <w:r>
        <w:rPr>
          <w:rFonts w:hint="eastAsia" w:ascii="仿宋" w:hAnsi="仿宋" w:eastAsia="仿宋" w:cs="Times New Roman"/>
          <w:sz w:val="32"/>
          <w:szCs w:val="32"/>
        </w:rPr>
        <w:t>0</w:t>
      </w:r>
      <w:r>
        <w:rPr>
          <w:rFonts w:hint="eastAsia" w:ascii="仿宋" w:hAnsi="仿宋" w:eastAsia="仿宋"/>
          <w:sz w:val="32"/>
          <w:szCs w:val="32"/>
        </w:rPr>
        <w:t>万元，事业收入</w:t>
      </w:r>
      <w:r>
        <w:rPr>
          <w:rFonts w:hint="eastAsia" w:ascii="仿宋" w:hAnsi="仿宋" w:eastAsia="仿宋" w:cs="Times New Roman"/>
          <w:sz w:val="32"/>
          <w:szCs w:val="32"/>
        </w:rPr>
        <w:t>0</w:t>
      </w:r>
      <w:r>
        <w:rPr>
          <w:rFonts w:hint="eastAsia" w:ascii="仿宋" w:hAnsi="仿宋" w:eastAsia="仿宋"/>
          <w:sz w:val="32"/>
          <w:szCs w:val="32"/>
        </w:rPr>
        <w:t>万元，其他收入</w:t>
      </w:r>
      <w:r>
        <w:rPr>
          <w:rFonts w:hint="eastAsia" w:ascii="仿宋" w:hAnsi="仿宋" w:eastAsia="仿宋" w:cs="Times New Roman"/>
          <w:sz w:val="32"/>
          <w:szCs w:val="32"/>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香河县工商业联合会2017</w:t>
      </w:r>
      <w:r>
        <w:rPr>
          <w:rFonts w:ascii="仿宋" w:hAnsi="仿宋" w:eastAsia="仿宋" w:cs="Times New Roman"/>
          <w:sz w:val="32"/>
          <w:szCs w:val="32"/>
        </w:rPr>
        <w:t>年度部门预算中支出预算的总体情况。2017年支出预算</w:t>
      </w:r>
      <w:r>
        <w:rPr>
          <w:rFonts w:hint="eastAsia" w:ascii="仿宋" w:hAnsi="仿宋" w:eastAsia="仿宋" w:cs="Times New Roman"/>
          <w:sz w:val="32"/>
          <w:szCs w:val="32"/>
        </w:rPr>
        <w:t>105.72</w:t>
      </w:r>
      <w:r>
        <w:rPr>
          <w:rFonts w:ascii="仿宋" w:hAnsi="仿宋" w:eastAsia="仿宋" w:cs="Times New Roman"/>
          <w:sz w:val="32"/>
          <w:szCs w:val="32"/>
        </w:rPr>
        <w:t>万元，其中基本支出</w:t>
      </w:r>
      <w:r>
        <w:rPr>
          <w:rFonts w:hint="eastAsia" w:ascii="仿宋" w:hAnsi="仿宋" w:eastAsia="仿宋" w:cs="Times New Roman"/>
          <w:sz w:val="32"/>
          <w:szCs w:val="32"/>
        </w:rPr>
        <w:t>93.72</w:t>
      </w:r>
      <w:r>
        <w:rPr>
          <w:rFonts w:ascii="仿宋" w:hAnsi="仿宋" w:eastAsia="仿宋" w:cs="Times New Roman"/>
          <w:sz w:val="32"/>
          <w:szCs w:val="32"/>
        </w:rPr>
        <w:t>万元，</w:t>
      </w:r>
      <w:r>
        <w:rPr>
          <w:rFonts w:hint="eastAsia" w:ascii="仿宋" w:hAnsi="仿宋" w:eastAsia="仿宋"/>
          <w:sz w:val="32"/>
          <w:szCs w:val="32"/>
        </w:rPr>
        <w:t>包括人员经费</w:t>
      </w:r>
      <w:r>
        <w:rPr>
          <w:rFonts w:hint="eastAsia" w:ascii="仿宋" w:hAnsi="仿宋" w:eastAsia="仿宋" w:cs="Times New Roman"/>
          <w:sz w:val="32"/>
          <w:szCs w:val="32"/>
        </w:rPr>
        <w:t>91.02</w:t>
      </w:r>
      <w:r>
        <w:rPr>
          <w:rFonts w:hint="eastAsia" w:ascii="仿宋" w:hAnsi="仿宋" w:eastAsia="仿宋"/>
          <w:sz w:val="32"/>
          <w:szCs w:val="32"/>
        </w:rPr>
        <w:t>万元，日常公用经费</w:t>
      </w:r>
      <w:r>
        <w:rPr>
          <w:rFonts w:hint="eastAsia" w:ascii="仿宋" w:hAnsi="仿宋" w:eastAsia="仿宋" w:cs="Times New Roman"/>
          <w:sz w:val="32"/>
          <w:szCs w:val="32"/>
        </w:rPr>
        <w:t>2.7</w:t>
      </w:r>
      <w:r>
        <w:rPr>
          <w:rFonts w:hint="eastAsia" w:ascii="仿宋" w:hAnsi="仿宋" w:eastAsia="仿宋"/>
          <w:sz w:val="32"/>
          <w:szCs w:val="32"/>
        </w:rPr>
        <w:t>万元</w:t>
      </w:r>
      <w:r>
        <w:rPr>
          <w:rFonts w:ascii="仿宋" w:hAnsi="仿宋" w:eastAsia="仿宋" w:cs="Times New Roman"/>
          <w:sz w:val="32"/>
          <w:szCs w:val="32"/>
        </w:rPr>
        <w:t>；项目支出</w:t>
      </w:r>
      <w:r>
        <w:rPr>
          <w:rFonts w:hint="eastAsia" w:ascii="仿宋" w:hAnsi="仿宋" w:eastAsia="仿宋" w:cs="Times New Roman"/>
          <w:sz w:val="32"/>
          <w:szCs w:val="32"/>
        </w:rPr>
        <w:t>12</w:t>
      </w:r>
      <w:r>
        <w:rPr>
          <w:rFonts w:ascii="仿宋" w:hAnsi="仿宋" w:eastAsia="仿宋" w:cs="Times New Roman"/>
          <w:sz w:val="32"/>
          <w:szCs w:val="32"/>
        </w:rPr>
        <w:t>万元，</w:t>
      </w:r>
      <w:r>
        <w:rPr>
          <w:rFonts w:hint="eastAsia" w:ascii="仿宋" w:hAnsi="仿宋" w:eastAsia="仿宋" w:cs="Times New Roman"/>
          <w:sz w:val="32"/>
          <w:szCs w:val="32"/>
          <w:lang w:eastAsia="zh-CN"/>
        </w:rPr>
        <w:t>主要</w:t>
      </w:r>
      <w:r>
        <w:rPr>
          <w:rFonts w:hint="eastAsia" w:ascii="仿宋" w:hAnsi="仿宋" w:eastAsia="仿宋" w:cs="Times New Roman"/>
          <w:sz w:val="32"/>
          <w:szCs w:val="32"/>
        </w:rPr>
        <w:t>为</w:t>
      </w:r>
      <w:r>
        <w:rPr>
          <w:rFonts w:hint="eastAsia" w:ascii="仿宋" w:hAnsi="仿宋" w:eastAsia="仿宋" w:cs="Times New Roman"/>
          <w:sz w:val="32"/>
          <w:szCs w:val="32"/>
          <w:lang w:eastAsia="zh-CN"/>
        </w:rPr>
        <w:t>包括</w:t>
      </w:r>
      <w:r>
        <w:rPr>
          <w:rFonts w:ascii="仿宋" w:hAnsi="仿宋" w:eastAsia="仿宋" w:cs="Times New Roman"/>
          <w:sz w:val="32"/>
          <w:szCs w:val="32"/>
        </w:rPr>
        <w:t>本级支出</w:t>
      </w:r>
      <w:r>
        <w:rPr>
          <w:rFonts w:hint="eastAsia" w:ascii="仿宋" w:hAnsi="仿宋" w:eastAsia="仿宋" w:cs="Times New Roman"/>
          <w:sz w:val="32"/>
          <w:szCs w:val="32"/>
        </w:rPr>
        <w:t>12万元，</w:t>
      </w:r>
      <w:r>
        <w:rPr>
          <w:rFonts w:ascii="仿宋" w:hAnsi="仿宋" w:eastAsia="仿宋" w:cs="Times New Roman"/>
          <w:sz w:val="32"/>
          <w:szCs w:val="32"/>
        </w:rPr>
        <w:t>本级支出和对下补助支出</w:t>
      </w:r>
      <w:r>
        <w:rPr>
          <w:rFonts w:hint="eastAsia" w:ascii="仿宋" w:hAnsi="仿宋" w:eastAsia="仿宋" w:cs="Times New Roman"/>
          <w:sz w:val="32"/>
          <w:szCs w:val="32"/>
        </w:rPr>
        <w:t>0</w:t>
      </w:r>
      <w:r>
        <w:rPr>
          <w:rFonts w:hint="eastAsia" w:ascii="仿宋" w:hAnsi="仿宋" w:eastAsia="仿宋"/>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2017年预算收支安排</w:t>
      </w:r>
      <w:r>
        <w:rPr>
          <w:rFonts w:hint="eastAsia" w:ascii="仿宋" w:hAnsi="仿宋" w:eastAsia="仿宋" w:cs="Times New Roman"/>
          <w:sz w:val="32"/>
          <w:szCs w:val="32"/>
        </w:rPr>
        <w:t>105.72</w:t>
      </w:r>
      <w:r>
        <w:rPr>
          <w:rFonts w:ascii="仿宋" w:hAnsi="仿宋" w:eastAsia="仿宋" w:cs="Times New Roman"/>
          <w:sz w:val="32"/>
          <w:szCs w:val="32"/>
        </w:rPr>
        <w:t>万元，较2016年预算</w:t>
      </w:r>
      <w:r>
        <w:rPr>
          <w:rFonts w:hint="eastAsia" w:ascii="仿宋" w:hAnsi="仿宋" w:eastAsia="仿宋" w:cs="Times New Roman"/>
          <w:sz w:val="32"/>
          <w:szCs w:val="32"/>
        </w:rPr>
        <w:t>增加9.33万元，其中：基本支出增加9.33万元，主要为增加人员经费支出；项目支出持平。</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机关</w:t>
      </w:r>
      <w:r>
        <w:rPr>
          <w:rFonts w:hint="eastAsia" w:ascii="仿宋" w:hAnsi="仿宋" w:eastAsia="仿宋" w:cs="Times New Roman"/>
          <w:sz w:val="32"/>
          <w:szCs w:val="32"/>
        </w:rPr>
        <w:t>运行经费共计安排2.22万元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numPr>
          <w:ilvl w:val="0"/>
          <w:numId w:val="1"/>
        </w:numPr>
        <w:ind w:firstLine="640"/>
        <w:rPr>
          <w:rFonts w:hint="eastAsia" w:ascii="黑体" w:hAnsi="黑体" w:eastAsia="黑体" w:cs="Times New Roman"/>
          <w:sz w:val="32"/>
          <w:szCs w:val="32"/>
        </w:rPr>
      </w:pPr>
      <w:r>
        <w:rPr>
          <w:rFonts w:hint="eastAsia" w:ascii="黑体" w:hAnsi="黑体" w:eastAsia="黑体" w:cs="Times New Roman"/>
          <w:sz w:val="32"/>
          <w:szCs w:val="32"/>
        </w:rPr>
        <w:t>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hint="eastAsia" w:ascii="仿宋" w:hAnsi="仿宋" w:eastAsia="仿宋" w:cs="Times New Roman"/>
          <w:sz w:val="32"/>
          <w:szCs w:val="32"/>
        </w:rPr>
      </w:pPr>
      <w:r>
        <w:rPr>
          <w:rFonts w:ascii="仿宋" w:hAnsi="仿宋" w:eastAsia="仿宋" w:cs="Times New Roman"/>
          <w:sz w:val="32"/>
          <w:szCs w:val="32"/>
        </w:rPr>
        <w:t>2017年，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rPr>
        <w:t>0</w:t>
      </w:r>
      <w:r>
        <w:rPr>
          <w:rFonts w:ascii="仿宋" w:hAnsi="仿宋" w:eastAsia="仿宋" w:cs="Times New Roman"/>
          <w:sz w:val="32"/>
          <w:szCs w:val="32"/>
        </w:rPr>
        <w:t>万元，其中因公出国（境）费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0</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万元，公务用车运行费</w:t>
      </w:r>
      <w:r>
        <w:rPr>
          <w:rFonts w:hint="eastAsia" w:ascii="仿宋" w:hAnsi="仿宋" w:eastAsia="仿宋" w:cs="Times New Roman"/>
          <w:sz w:val="32"/>
          <w:szCs w:val="32"/>
        </w:rPr>
        <w:t>0</w:t>
      </w:r>
      <w:r>
        <w:rPr>
          <w:rFonts w:ascii="仿宋" w:hAnsi="仿宋" w:eastAsia="仿宋" w:cs="Times New Roman"/>
          <w:sz w:val="32"/>
          <w:szCs w:val="32"/>
        </w:rPr>
        <w:t>万元)；公务接待费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sz w:val="32"/>
          <w:szCs w:val="32"/>
        </w:rPr>
        <w:t>与</w:t>
      </w:r>
      <w:r>
        <w:rPr>
          <w:rFonts w:ascii="仿宋" w:hAnsi="仿宋" w:eastAsia="仿宋"/>
          <w:sz w:val="32"/>
          <w:szCs w:val="32"/>
        </w:rPr>
        <w:t>2016</w:t>
      </w:r>
      <w:r>
        <w:rPr>
          <w:rFonts w:hint="eastAsia" w:ascii="仿宋" w:hAnsi="仿宋" w:eastAsia="仿宋"/>
          <w:sz w:val="32"/>
          <w:szCs w:val="32"/>
        </w:rPr>
        <w:t>年持平</w:t>
      </w:r>
      <w:r>
        <w:rPr>
          <w:rFonts w:ascii="仿宋" w:hAnsi="仿宋" w:eastAsia="仿宋"/>
          <w:sz w:val="32"/>
          <w:szCs w:val="32"/>
        </w:rPr>
        <w:t>,</w:t>
      </w:r>
      <w:r>
        <w:rPr>
          <w:rFonts w:hint="eastAsia" w:ascii="仿宋" w:hAnsi="仿宋" w:eastAsia="仿宋"/>
          <w:sz w:val="32"/>
          <w:szCs w:val="32"/>
        </w:rPr>
        <w:t>无增减变化。</w:t>
      </w:r>
      <w:bookmarkStart w:id="2" w:name="_GoBack"/>
      <w:bookmarkEnd w:id="2"/>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1、增强组织凝聚力和社会影响力，提升参政议政水平。组织经贸洽谈、招商引资等经济活动，助力县域经济发展。</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2、提升参政议政水平，为社会发展建言献策。</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3、引导会员积极承担社会责任，热心公益事业发挥工商联在政府管理和服务非公有制经济中的助手作用，助力县域经济发展</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4、发展工商联会员、指导基层工商联组织建设；组织培训、思想政治教育，对非公有制经济优秀事迹进行宣传等事项。</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5、指导全县各级组织建设。提升民营企业家素质，推进民营企业文化建设，提升工商联工作影响力。</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6、保障工商联各项工作顺利开展</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7、保证工商联日常工作正常运转</w:t>
      </w:r>
    </w:p>
    <w:p>
      <w:pPr>
        <w:jc w:val="left"/>
        <w:rPr>
          <w:rFonts w:ascii="方正书宋_GBK" w:hAnsi="Times New Roman" w:eastAsia="方正书宋_GBK" w:cs="Times New Roman"/>
          <w:sz w:val="18"/>
          <w:szCs w:val="18"/>
        </w:rPr>
      </w:pPr>
    </w:p>
    <w:p>
      <w:pPr>
        <w:ind w:firstLine="643" w:firstLineChars="200"/>
        <w:jc w:val="left"/>
        <w:outlineLvl w:val="0"/>
        <w:rPr>
          <w:rFonts w:ascii="方正小标宋_GBK" w:hAnsi="Times New Roman" w:eastAsia="方正小标宋_GBK" w:cs="Times New Roman"/>
          <w:sz w:val="32"/>
          <w:szCs w:val="24"/>
        </w:rPr>
      </w:pPr>
      <w:r>
        <w:rPr>
          <w:rFonts w:hint="eastAsia" w:cs="Times New Roman" w:asciiTheme="minorEastAsia" w:hAnsiTheme="minorEastAsia"/>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744"/>
        <w:gridCol w:w="1649"/>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香河县工商业联合会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744"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649"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744"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649"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参政议政</w:t>
            </w:r>
          </w:p>
        </w:tc>
        <w:tc>
          <w:tcPr>
            <w:tcW w:w="1276" w:type="dxa"/>
            <w:shd w:val="clear" w:color="auto" w:fill="auto"/>
            <w:vAlign w:val="center"/>
          </w:tcPr>
          <w:p>
            <w:pPr>
              <w:spacing w:line="300" w:lineRule="exact"/>
              <w:jc w:val="center"/>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参政议政、社会服务等事项</w:t>
            </w:r>
          </w:p>
        </w:tc>
        <w:tc>
          <w:tcPr>
            <w:tcW w:w="2744"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增强组织凝聚力和社会影响力，提升参政议政水平。组织经贸洽谈、招商引资等经济活动，助力县域经济发展。</w:t>
            </w: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2" w:hRule="atLeast"/>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Cs/>
                <w:sz w:val="18"/>
                <w:szCs w:val="18"/>
              </w:rPr>
            </w:pPr>
            <w:r>
              <w:rPr>
                <w:rFonts w:hint="eastAsia" w:ascii="方正书宋_GBK" w:hAnsi="Times New Roman" w:eastAsia="方正书宋_GBK" w:cs="Times New Roman"/>
                <w:bCs/>
                <w:sz w:val="18"/>
                <w:szCs w:val="18"/>
              </w:rPr>
              <w:t>参政议政</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sz w:val="18"/>
                <w:szCs w:val="18"/>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组织开展调研，向县政协提交大会发言和集体提案，反映社会民意，与县政府对口单位紧密联系。开展各种活动及相关会议</w:t>
            </w:r>
          </w:p>
        </w:tc>
        <w:tc>
          <w:tcPr>
            <w:tcW w:w="2744"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提升参政议政水平，为社会发</w:t>
            </w:r>
          </w:p>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展建言献策。</w:t>
            </w:r>
          </w:p>
        </w:tc>
        <w:tc>
          <w:tcPr>
            <w:tcW w:w="1649"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提交县政协大会集体提案</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4</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3</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2</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41" w:type="dxa"/>
            <w:vMerge w:val="continue"/>
            <w:shd w:val="clear" w:color="auto" w:fill="auto"/>
            <w:vAlign w:val="center"/>
          </w:tcPr>
          <w:p>
            <w:pPr>
              <w:spacing w:line="300" w:lineRule="exact"/>
              <w:jc w:val="center"/>
              <w:rPr>
                <w:bCs/>
              </w:rPr>
            </w:pPr>
          </w:p>
        </w:tc>
        <w:tc>
          <w:tcPr>
            <w:tcW w:w="1276" w:type="dxa"/>
            <w:vMerge w:val="continue"/>
            <w:shd w:val="clear" w:color="auto" w:fill="auto"/>
            <w:vAlign w:val="center"/>
          </w:tcPr>
          <w:p>
            <w:pPr>
              <w:spacing w:line="300" w:lineRule="exact"/>
              <w:jc w:val="center"/>
            </w:pPr>
          </w:p>
        </w:tc>
        <w:tc>
          <w:tcPr>
            <w:tcW w:w="2976" w:type="dxa"/>
            <w:vMerge w:val="continue"/>
            <w:shd w:val="clear" w:color="auto" w:fill="auto"/>
            <w:vAlign w:val="center"/>
          </w:tcPr>
          <w:p>
            <w:pPr>
              <w:spacing w:line="300" w:lineRule="exact"/>
              <w:jc w:val="left"/>
            </w:pPr>
          </w:p>
        </w:tc>
        <w:tc>
          <w:tcPr>
            <w:tcW w:w="2744" w:type="dxa"/>
            <w:vMerge w:val="continue"/>
            <w:shd w:val="clear" w:color="auto" w:fill="auto"/>
            <w:vAlign w:val="center"/>
          </w:tcPr>
          <w:p>
            <w:pPr>
              <w:spacing w:line="300" w:lineRule="exact"/>
              <w:jc w:val="left"/>
            </w:pPr>
          </w:p>
        </w:tc>
        <w:tc>
          <w:tcPr>
            <w:tcW w:w="1649"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提交调研报告数量</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4</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3</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2</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5" w:hRule="atLeast"/>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Cs/>
                <w:sz w:val="18"/>
                <w:szCs w:val="18"/>
              </w:rPr>
            </w:pPr>
            <w:r>
              <w:rPr>
                <w:rFonts w:hint="eastAsia" w:ascii="方正书宋_GBK" w:hAnsi="Times New Roman" w:eastAsia="方正书宋_GBK" w:cs="Times New Roman"/>
                <w:bCs/>
                <w:sz w:val="18"/>
                <w:szCs w:val="18"/>
              </w:rPr>
              <w:t>社会服务</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sz w:val="18"/>
                <w:szCs w:val="18"/>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积极搭建服务平台，举办招商会、银企对接会、招商引资，民企活动及法律维权、科级进民企活动。加强与知名企业的合作交流。组织会议企业参与农村面貌改造提升行动、社会扶贫和公益事业。</w:t>
            </w:r>
          </w:p>
        </w:tc>
        <w:tc>
          <w:tcPr>
            <w:tcW w:w="2744"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引导会员积极承担社会责任，热心公益事业发挥工商联在政府管理和服务非公有制经济中的助手作用，助力县域经济发展</w:t>
            </w:r>
          </w:p>
        </w:tc>
        <w:tc>
          <w:tcPr>
            <w:tcW w:w="1649"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组织招商引资活动次数</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4</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3</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2</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5" w:hRule="atLeast"/>
          <w:jc w:val="center"/>
        </w:trPr>
        <w:tc>
          <w:tcPr>
            <w:tcW w:w="2341" w:type="dxa"/>
            <w:vMerge w:val="continue"/>
            <w:shd w:val="clear" w:color="auto" w:fill="auto"/>
            <w:vAlign w:val="center"/>
          </w:tcPr>
          <w:p>
            <w:pPr>
              <w:spacing w:line="300" w:lineRule="exact"/>
              <w:jc w:val="center"/>
            </w:pPr>
          </w:p>
        </w:tc>
        <w:tc>
          <w:tcPr>
            <w:tcW w:w="1276" w:type="dxa"/>
            <w:vMerge w:val="continue"/>
            <w:shd w:val="clear" w:color="auto" w:fill="auto"/>
            <w:vAlign w:val="center"/>
          </w:tcPr>
          <w:p>
            <w:pPr>
              <w:spacing w:line="300" w:lineRule="exact"/>
              <w:jc w:val="center"/>
            </w:pPr>
          </w:p>
        </w:tc>
        <w:tc>
          <w:tcPr>
            <w:tcW w:w="2976" w:type="dxa"/>
            <w:vMerge w:val="continue"/>
            <w:shd w:val="clear" w:color="auto" w:fill="auto"/>
            <w:vAlign w:val="center"/>
          </w:tcPr>
          <w:p>
            <w:pPr>
              <w:spacing w:line="300" w:lineRule="exact"/>
              <w:jc w:val="center"/>
            </w:pPr>
          </w:p>
        </w:tc>
        <w:tc>
          <w:tcPr>
            <w:tcW w:w="2744" w:type="dxa"/>
            <w:vMerge w:val="continue"/>
            <w:shd w:val="clear" w:color="auto" w:fill="auto"/>
            <w:vAlign w:val="center"/>
          </w:tcPr>
          <w:p>
            <w:pPr>
              <w:spacing w:line="300" w:lineRule="exact"/>
              <w:jc w:val="left"/>
            </w:pPr>
          </w:p>
        </w:tc>
        <w:tc>
          <w:tcPr>
            <w:tcW w:w="1649"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法律维权服务次数</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4</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3</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2</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5" w:hRule="atLeast"/>
          <w:jc w:val="center"/>
        </w:trPr>
        <w:tc>
          <w:tcPr>
            <w:tcW w:w="2341" w:type="dxa"/>
            <w:vMerge w:val="continue"/>
            <w:shd w:val="clear" w:color="auto" w:fill="auto"/>
            <w:vAlign w:val="center"/>
          </w:tcPr>
          <w:p>
            <w:pPr>
              <w:spacing w:line="300" w:lineRule="exact"/>
              <w:jc w:val="center"/>
              <w:rPr>
                <w:rFonts w:ascii="Times New Roman" w:hAnsi="Times New Roman" w:eastAsia="方正书宋_GBK" w:cs="Times New Roman"/>
                <w:sz w:val="18"/>
                <w:szCs w:val="18"/>
              </w:rPr>
            </w:pPr>
          </w:p>
        </w:tc>
        <w:tc>
          <w:tcPr>
            <w:tcW w:w="1276" w:type="dxa"/>
            <w:vMerge w:val="continue"/>
            <w:shd w:val="clear" w:color="auto" w:fill="auto"/>
            <w:vAlign w:val="center"/>
          </w:tcPr>
          <w:p>
            <w:pPr>
              <w:spacing w:line="300" w:lineRule="exact"/>
              <w:jc w:val="center"/>
              <w:rPr>
                <w:rFonts w:ascii="Times New Roman" w:hAnsi="Times New Roman" w:eastAsia="方正书宋_GBK" w:cs="Times New Roman"/>
                <w:sz w:val="18"/>
                <w:szCs w:val="18"/>
              </w:rPr>
            </w:pPr>
          </w:p>
        </w:tc>
        <w:tc>
          <w:tcPr>
            <w:tcW w:w="2976" w:type="dxa"/>
            <w:vMerge w:val="continue"/>
            <w:shd w:val="clear" w:color="auto" w:fill="auto"/>
            <w:vAlign w:val="center"/>
          </w:tcPr>
          <w:p>
            <w:pPr>
              <w:spacing w:line="300" w:lineRule="exact"/>
              <w:jc w:val="center"/>
              <w:rPr>
                <w:rFonts w:ascii="Times New Roman" w:hAnsi="Times New Roman" w:eastAsia="方正书宋_GBK" w:cs="Times New Roman"/>
                <w:sz w:val="18"/>
                <w:szCs w:val="18"/>
              </w:rPr>
            </w:pPr>
          </w:p>
        </w:tc>
        <w:tc>
          <w:tcPr>
            <w:tcW w:w="2744"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1649"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银企对接会次数</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3</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2</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1</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组织建设</w:t>
            </w:r>
          </w:p>
        </w:tc>
        <w:tc>
          <w:tcPr>
            <w:tcW w:w="1276" w:type="dxa"/>
            <w:shd w:val="clear" w:color="auto" w:fill="auto"/>
            <w:vAlign w:val="center"/>
          </w:tcPr>
          <w:p>
            <w:pPr>
              <w:spacing w:line="300" w:lineRule="exact"/>
              <w:jc w:val="center"/>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组织建设及宣传教育、培训等事项</w:t>
            </w:r>
          </w:p>
        </w:tc>
        <w:tc>
          <w:tcPr>
            <w:tcW w:w="2744"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发展工商联会员、指导基层工商联组织建设；组织培训、思想政治教育，对非公有制经济优秀事迹进行宣传等事项。</w:t>
            </w:r>
          </w:p>
          <w:p>
            <w:pPr>
              <w:spacing w:line="300" w:lineRule="exact"/>
              <w:jc w:val="left"/>
              <w:rPr>
                <w:rFonts w:ascii="方正书宋_GBK" w:hAnsi="Times New Roman" w:eastAsia="方正书宋_GBK" w:cs="Times New Roman"/>
                <w:sz w:val="18"/>
                <w:szCs w:val="18"/>
              </w:rPr>
            </w:pP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5" w:hRule="atLeast"/>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Cs/>
                <w:sz w:val="18"/>
                <w:szCs w:val="18"/>
              </w:rPr>
            </w:pPr>
            <w:r>
              <w:rPr>
                <w:rFonts w:hint="eastAsia" w:ascii="方正书宋_GBK" w:hAnsi="Times New Roman" w:eastAsia="方正书宋_GBK" w:cs="Times New Roman"/>
                <w:bCs/>
                <w:sz w:val="18"/>
                <w:szCs w:val="18"/>
              </w:rPr>
              <w:t>组织建设及宣传教</w:t>
            </w:r>
          </w:p>
          <w:p>
            <w:pPr>
              <w:spacing w:line="300" w:lineRule="exact"/>
              <w:rPr>
                <w:rFonts w:ascii="方正书宋_GBK" w:hAnsi="Times New Roman" w:eastAsia="方正书宋_GBK" w:cs="Times New Roman"/>
                <w:b/>
                <w:sz w:val="18"/>
                <w:szCs w:val="18"/>
              </w:rPr>
            </w:pPr>
            <w:r>
              <w:rPr>
                <w:rFonts w:hint="eastAsia" w:ascii="方正书宋_GBK" w:hAnsi="Times New Roman" w:eastAsia="方正书宋_GBK" w:cs="Times New Roman"/>
                <w:bCs/>
                <w:sz w:val="18"/>
                <w:szCs w:val="18"/>
              </w:rPr>
              <w:t>育、培训</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sz w:val="18"/>
                <w:szCs w:val="18"/>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贯彻省市工商联组织建设工作方针，指导全县各级组织的建设，维护会员合法权益，组织换届、培训、思想教育和基层建设工作，对非公有制经济优秀事迹进行宣传。</w:t>
            </w:r>
          </w:p>
        </w:tc>
        <w:tc>
          <w:tcPr>
            <w:tcW w:w="2744" w:type="dxa"/>
            <w:vMerge w:val="restart"/>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指导全县各级组织建设。提升民营企业家素质，推进民营企业文化建设，提升工商联工作影响力。</w:t>
            </w: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新会员培训率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100%</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90%</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80%</w:t>
            </w:r>
          </w:p>
        </w:tc>
        <w:tc>
          <w:tcPr>
            <w:tcW w:w="737" w:type="dxa"/>
            <w:shd w:val="clear" w:color="auto" w:fill="auto"/>
            <w:vAlign w:val="center"/>
          </w:tcPr>
          <w:p>
            <w:pPr>
              <w:spacing w:line="3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&lt;</w:t>
            </w:r>
          </w:p>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5" w:hRule="atLeast"/>
          <w:jc w:val="center"/>
        </w:trPr>
        <w:tc>
          <w:tcPr>
            <w:tcW w:w="2341" w:type="dxa"/>
            <w:vMerge w:val="continue"/>
            <w:shd w:val="clear" w:color="auto" w:fill="auto"/>
            <w:vAlign w:val="center"/>
          </w:tcPr>
          <w:p>
            <w:pPr>
              <w:spacing w:line="300" w:lineRule="exact"/>
              <w:jc w:val="center"/>
            </w:pPr>
          </w:p>
        </w:tc>
        <w:tc>
          <w:tcPr>
            <w:tcW w:w="1276" w:type="dxa"/>
            <w:vMerge w:val="continue"/>
            <w:shd w:val="clear" w:color="auto" w:fill="auto"/>
            <w:vAlign w:val="center"/>
          </w:tcPr>
          <w:p>
            <w:pPr>
              <w:spacing w:line="300" w:lineRule="exact"/>
              <w:jc w:val="center"/>
            </w:pPr>
          </w:p>
        </w:tc>
        <w:tc>
          <w:tcPr>
            <w:tcW w:w="2976" w:type="dxa"/>
            <w:vMerge w:val="continue"/>
            <w:shd w:val="clear" w:color="auto" w:fill="auto"/>
            <w:vAlign w:val="center"/>
          </w:tcPr>
          <w:p>
            <w:pPr>
              <w:spacing w:line="300" w:lineRule="exact"/>
              <w:jc w:val="left"/>
            </w:pPr>
          </w:p>
        </w:tc>
        <w:tc>
          <w:tcPr>
            <w:tcW w:w="2744" w:type="dxa"/>
            <w:vMerge w:val="continue"/>
            <w:shd w:val="clear" w:color="auto" w:fill="auto"/>
            <w:vAlign w:val="center"/>
          </w:tcPr>
          <w:p>
            <w:pPr>
              <w:spacing w:line="300" w:lineRule="exact"/>
              <w:jc w:val="center"/>
            </w:pP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新会员培训合格率</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95%</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90%</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80%</w:t>
            </w:r>
          </w:p>
        </w:tc>
        <w:tc>
          <w:tcPr>
            <w:tcW w:w="737" w:type="dxa"/>
            <w:shd w:val="clear" w:color="auto" w:fill="auto"/>
            <w:vAlign w:val="center"/>
          </w:tcPr>
          <w:p>
            <w:pPr>
              <w:spacing w:line="3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&lt;</w:t>
            </w:r>
          </w:p>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95" w:hRule="atLeast"/>
          <w:jc w:val="center"/>
        </w:trPr>
        <w:tc>
          <w:tcPr>
            <w:tcW w:w="2341" w:type="dxa"/>
            <w:vMerge w:val="continue"/>
            <w:shd w:val="clear" w:color="auto" w:fill="auto"/>
            <w:vAlign w:val="center"/>
          </w:tcPr>
          <w:p>
            <w:pPr>
              <w:spacing w:line="300" w:lineRule="exact"/>
              <w:jc w:val="center"/>
              <w:rPr>
                <w:rFonts w:ascii="Times New Roman" w:hAnsi="Times New Roman" w:eastAsia="方正书宋_GBK" w:cs="Times New Roman"/>
                <w:sz w:val="18"/>
                <w:szCs w:val="18"/>
              </w:rPr>
            </w:pPr>
          </w:p>
        </w:tc>
        <w:tc>
          <w:tcPr>
            <w:tcW w:w="1276" w:type="dxa"/>
            <w:vMerge w:val="continue"/>
            <w:shd w:val="clear" w:color="auto" w:fill="auto"/>
            <w:vAlign w:val="center"/>
          </w:tcPr>
          <w:p>
            <w:pPr>
              <w:spacing w:line="300" w:lineRule="exact"/>
              <w:jc w:val="center"/>
              <w:rPr>
                <w:rFonts w:ascii="Times New Roman"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Times New Roman" w:hAnsi="Times New Roman" w:eastAsia="方正书宋_GBK" w:cs="Times New Roman"/>
                <w:sz w:val="18"/>
                <w:szCs w:val="18"/>
              </w:rPr>
            </w:pPr>
          </w:p>
        </w:tc>
        <w:tc>
          <w:tcPr>
            <w:tcW w:w="2744" w:type="dxa"/>
            <w:vMerge w:val="continue"/>
            <w:shd w:val="clear" w:color="auto" w:fill="auto"/>
            <w:vAlign w:val="center"/>
          </w:tcPr>
          <w:p>
            <w:pPr>
              <w:spacing w:line="300" w:lineRule="exact"/>
              <w:jc w:val="center"/>
              <w:rPr>
                <w:rFonts w:ascii="Times New Roman" w:hAnsi="Times New Roman" w:eastAsia="方正书宋_GBK" w:cs="Times New Roman"/>
                <w:sz w:val="18"/>
                <w:szCs w:val="18"/>
              </w:rPr>
            </w:pP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培训人次（人）</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40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35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Arial" w:hAnsi="Arial" w:eastAsia="方正书宋_GBK" w:cs="Arial"/>
                <w:sz w:val="18"/>
                <w:szCs w:val="18"/>
              </w:rPr>
              <w:t>≥</w:t>
            </w:r>
            <w:r>
              <w:rPr>
                <w:rFonts w:hint="eastAsia" w:ascii="Arial" w:hAnsi="Arial" w:eastAsia="方正书宋_GBK" w:cs="Arial"/>
                <w:sz w:val="18"/>
                <w:szCs w:val="18"/>
              </w:rPr>
              <w:t>30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工商联事务管理</w:t>
            </w:r>
          </w:p>
        </w:tc>
        <w:tc>
          <w:tcPr>
            <w:tcW w:w="1276"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12.00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综合性事务管理等事项</w:t>
            </w:r>
          </w:p>
        </w:tc>
        <w:tc>
          <w:tcPr>
            <w:tcW w:w="2744"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保障工商联各项工作顺利开展</w:t>
            </w: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Cs/>
                <w:sz w:val="18"/>
                <w:szCs w:val="18"/>
              </w:rPr>
              <w:t>综合事务管理</w:t>
            </w:r>
          </w:p>
        </w:tc>
        <w:tc>
          <w:tcPr>
            <w:tcW w:w="1276"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12.00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档案、信息、机关各类会议、财务、机要、保密、安全保卫、固定资产、车辆等管理和后勤保障工作。</w:t>
            </w:r>
          </w:p>
        </w:tc>
        <w:tc>
          <w:tcPr>
            <w:tcW w:w="2744"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保证工商联日常工作正常运转</w:t>
            </w:r>
          </w:p>
        </w:tc>
        <w:tc>
          <w:tcPr>
            <w:tcW w:w="1649"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综合事务工作完成率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Times New Roman" w:hAnsi="Times New Roman" w:eastAsia="方正书宋_GBK" w:cs="Times New Roman"/>
                <w:sz w:val="18"/>
                <w:szCs w:val="18"/>
              </w:rPr>
              <w:t>100%</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95%</w:t>
            </w:r>
          </w:p>
        </w:tc>
        <w:tc>
          <w:tcPr>
            <w:tcW w:w="737" w:type="dxa"/>
            <w:shd w:val="clear" w:color="auto" w:fill="auto"/>
            <w:vAlign w:val="center"/>
          </w:tcPr>
          <w:p>
            <w:pPr>
              <w:spacing w:line="300" w:lineRule="exact"/>
              <w:jc w:val="center"/>
              <w:rPr>
                <w:rFonts w:ascii="Arial" w:hAnsi="Arial" w:eastAsia="方正书宋_GBK" w:cs="Arial"/>
                <w:sz w:val="18"/>
                <w:szCs w:val="18"/>
              </w:rPr>
            </w:pPr>
            <w:r>
              <w:rPr>
                <w:rFonts w:ascii="Arial" w:hAnsi="Arial" w:eastAsia="方正书宋_GBK" w:cs="Arial"/>
                <w:sz w:val="18"/>
                <w:szCs w:val="18"/>
              </w:rPr>
              <w:t>≥</w:t>
            </w:r>
          </w:p>
          <w:p>
            <w:pPr>
              <w:spacing w:line="300" w:lineRule="exact"/>
              <w:jc w:val="center"/>
              <w:rPr>
                <w:rFonts w:ascii="Times New Roman" w:hAnsi="Times New Roman" w:eastAsia="方正书宋_GBK" w:cs="Times New Roman"/>
                <w:sz w:val="18"/>
                <w:szCs w:val="18"/>
              </w:rPr>
            </w:pPr>
            <w:r>
              <w:rPr>
                <w:rFonts w:hint="eastAsia" w:ascii="Arial" w:hAnsi="Arial" w:eastAsia="方正书宋_GBK" w:cs="Arial"/>
                <w:sz w:val="18"/>
                <w:szCs w:val="18"/>
              </w:rPr>
              <w:t>90%</w:t>
            </w:r>
          </w:p>
        </w:tc>
        <w:tc>
          <w:tcPr>
            <w:tcW w:w="737" w:type="dxa"/>
            <w:shd w:val="clear" w:color="auto" w:fill="auto"/>
            <w:vAlign w:val="center"/>
          </w:tcPr>
          <w:p>
            <w:pPr>
              <w:spacing w:line="30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&lt;</w:t>
            </w:r>
          </w:p>
          <w:p>
            <w:pPr>
              <w:spacing w:line="300" w:lineRule="exact"/>
              <w:jc w:val="center"/>
              <w:rPr>
                <w:rFonts w:ascii="Times New Roman" w:hAnsi="Times New Roman" w:eastAsia="方正书宋_GBK" w:cs="Times New Roman"/>
                <w:sz w:val="18"/>
                <w:szCs w:val="18"/>
              </w:rPr>
            </w:pPr>
            <w:r>
              <w:rPr>
                <w:rFonts w:hint="eastAsia" w:ascii="微软雅黑" w:hAnsi="微软雅黑" w:eastAsia="微软雅黑" w:cs="微软雅黑"/>
                <w:sz w:val="18"/>
                <w:szCs w:val="18"/>
              </w:rPr>
              <w:t>90%</w:t>
            </w:r>
          </w:p>
        </w:tc>
      </w:tr>
    </w:tbl>
    <w:p>
      <w:pPr>
        <w:autoSpaceDE w:val="0"/>
        <w:autoSpaceDN w:val="0"/>
        <w:adjustRightInd w:val="0"/>
        <w:ind w:left="200"/>
        <w:jc w:val="left"/>
        <w:rPr>
          <w:rFonts w:ascii="宋体" w:eastAsia="宋体" w:cs="宋体"/>
          <w:kern w:val="0"/>
          <w:sz w:val="18"/>
          <w:szCs w:val="18"/>
          <w:lang w:val="zh-CN"/>
        </w:rPr>
      </w:pPr>
    </w:p>
    <w:p>
      <w:pPr>
        <w:numPr>
          <w:ilvl w:val="0"/>
          <w:numId w:val="2"/>
        </w:numPr>
        <w:ind w:firstLine="640"/>
        <w:rPr>
          <w:rFonts w:ascii="黑体" w:hAnsi="黑体" w:eastAsia="黑体" w:cs="Times New Roman"/>
          <w:sz w:val="32"/>
          <w:szCs w:val="32"/>
        </w:rPr>
      </w:pPr>
      <w:r>
        <w:rPr>
          <w:rFonts w:hint="eastAsia" w:ascii="黑体" w:hAnsi="黑体" w:eastAsia="黑体" w:cs="Times New Roman"/>
          <w:sz w:val="32"/>
          <w:szCs w:val="32"/>
        </w:rPr>
        <w:t>政府采购预算情况</w:t>
      </w:r>
      <w:bookmarkStart w:id="1" w:name="_Toc471398468"/>
    </w:p>
    <w:p>
      <w:pPr>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2017年，</w:t>
      </w:r>
      <w:r>
        <w:rPr>
          <w:rFonts w:hint="eastAsia" w:ascii="仿宋" w:hAnsi="仿宋" w:eastAsia="仿宋" w:cs="Times New Roman"/>
          <w:sz w:val="32"/>
          <w:szCs w:val="32"/>
        </w:rPr>
        <w:t>本部门没有安排政府采购预算。</w:t>
      </w:r>
    </w:p>
    <w:bookmarkEnd w:id="1"/>
    <w:p>
      <w:pPr>
        <w:ind w:firstLine="640"/>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香河县工商业联合会上年末固定资产金额为1.875万元，本年度未做安排。</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编制部门：香河县工商业联合会</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1.875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1.875</w:t>
            </w:r>
          </w:p>
        </w:tc>
      </w:tr>
    </w:tbl>
    <w:p>
      <w:pPr>
        <w:spacing w:line="560" w:lineRule="exact"/>
        <w:ind w:firstLine="640" w:firstLineChars="200"/>
        <w:rPr>
          <w:rFonts w:ascii="仿宋" w:hAnsi="仿宋" w:eastAsia="仿宋"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rPr>
          <w:rFonts w:ascii="仿宋" w:hAnsi="仿宋" w:eastAsia="仿宋"/>
          <w:b/>
          <w:bCs/>
          <w:sz w:val="32"/>
          <w:szCs w:val="32"/>
        </w:rPr>
      </w:pPr>
      <w:r>
        <w:rPr>
          <w:rFonts w:hint="eastAsia" w:ascii="仿宋" w:hAnsi="仿宋" w:eastAsia="仿宋"/>
          <w:b/>
          <w:bCs/>
          <w:sz w:val="32"/>
          <w:szCs w:val="32"/>
        </w:rPr>
        <w:t xml:space="preserve"> 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FZFangSong-Z02">
    <w:altName w:val="Arial"/>
    <w:panose1 w:val="00000000000000000000"/>
    <w:charset w:val="00"/>
    <w:family w:val="swiss"/>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1E2"/>
    <w:multiLevelType w:val="singleLevel"/>
    <w:tmpl w:val="595311E2"/>
    <w:lvl w:ilvl="0" w:tentative="0">
      <w:start w:val="4"/>
      <w:numFmt w:val="chineseCounting"/>
      <w:suff w:val="nothing"/>
      <w:lvlText w:val="%1、"/>
      <w:lvlJc w:val="left"/>
    </w:lvl>
  </w:abstractNum>
  <w:abstractNum w:abstractNumId="1">
    <w:nsid w:val="59531594"/>
    <w:multiLevelType w:val="singleLevel"/>
    <w:tmpl w:val="59531594"/>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37AF6"/>
    <w:rsid w:val="00045A61"/>
    <w:rsid w:val="00062DD6"/>
    <w:rsid w:val="000650DE"/>
    <w:rsid w:val="000751CD"/>
    <w:rsid w:val="00075D5F"/>
    <w:rsid w:val="00093D80"/>
    <w:rsid w:val="000A63E7"/>
    <w:rsid w:val="000B04B5"/>
    <w:rsid w:val="000C3A19"/>
    <w:rsid w:val="00104219"/>
    <w:rsid w:val="001245BB"/>
    <w:rsid w:val="00125FBB"/>
    <w:rsid w:val="0018479D"/>
    <w:rsid w:val="00203698"/>
    <w:rsid w:val="00223272"/>
    <w:rsid w:val="00241FD4"/>
    <w:rsid w:val="0024465C"/>
    <w:rsid w:val="00246DD9"/>
    <w:rsid w:val="002508C4"/>
    <w:rsid w:val="00251B12"/>
    <w:rsid w:val="00261354"/>
    <w:rsid w:val="002645FB"/>
    <w:rsid w:val="0027451B"/>
    <w:rsid w:val="00296113"/>
    <w:rsid w:val="002C200A"/>
    <w:rsid w:val="002D1476"/>
    <w:rsid w:val="002D4AF7"/>
    <w:rsid w:val="002F3E58"/>
    <w:rsid w:val="0030542C"/>
    <w:rsid w:val="00311B7A"/>
    <w:rsid w:val="00332ABC"/>
    <w:rsid w:val="003A094E"/>
    <w:rsid w:val="003E1A7F"/>
    <w:rsid w:val="003F49E7"/>
    <w:rsid w:val="00451871"/>
    <w:rsid w:val="00472923"/>
    <w:rsid w:val="00497870"/>
    <w:rsid w:val="004B37C2"/>
    <w:rsid w:val="004E3066"/>
    <w:rsid w:val="004E74CD"/>
    <w:rsid w:val="004F6123"/>
    <w:rsid w:val="00520CEC"/>
    <w:rsid w:val="005632E5"/>
    <w:rsid w:val="00565D07"/>
    <w:rsid w:val="00573562"/>
    <w:rsid w:val="00595C93"/>
    <w:rsid w:val="005C1AEB"/>
    <w:rsid w:val="006009A1"/>
    <w:rsid w:val="00614A29"/>
    <w:rsid w:val="00646686"/>
    <w:rsid w:val="006D6C8A"/>
    <w:rsid w:val="006F23FE"/>
    <w:rsid w:val="007323EB"/>
    <w:rsid w:val="0075393C"/>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8BA"/>
    <w:rsid w:val="00966C5C"/>
    <w:rsid w:val="00967BB9"/>
    <w:rsid w:val="00973104"/>
    <w:rsid w:val="009C119B"/>
    <w:rsid w:val="00A34D76"/>
    <w:rsid w:val="00A72D2E"/>
    <w:rsid w:val="00A911E7"/>
    <w:rsid w:val="00A939D9"/>
    <w:rsid w:val="00AA71ED"/>
    <w:rsid w:val="00AF6B63"/>
    <w:rsid w:val="00B043C4"/>
    <w:rsid w:val="00B20712"/>
    <w:rsid w:val="00B43238"/>
    <w:rsid w:val="00B75216"/>
    <w:rsid w:val="00B91D52"/>
    <w:rsid w:val="00BA1ACD"/>
    <w:rsid w:val="00BA408B"/>
    <w:rsid w:val="00BC77C6"/>
    <w:rsid w:val="00C24BF5"/>
    <w:rsid w:val="00C8569A"/>
    <w:rsid w:val="00CA7176"/>
    <w:rsid w:val="00CD2773"/>
    <w:rsid w:val="00CE143B"/>
    <w:rsid w:val="00CE403B"/>
    <w:rsid w:val="00D361CD"/>
    <w:rsid w:val="00D80DB8"/>
    <w:rsid w:val="00DA2FDB"/>
    <w:rsid w:val="00DC3238"/>
    <w:rsid w:val="00E167C7"/>
    <w:rsid w:val="00E84FEB"/>
    <w:rsid w:val="00EC47F6"/>
    <w:rsid w:val="00EE1B43"/>
    <w:rsid w:val="00F153EF"/>
    <w:rsid w:val="00F50E15"/>
    <w:rsid w:val="00F61055"/>
    <w:rsid w:val="00F66032"/>
    <w:rsid w:val="00F958C2"/>
    <w:rsid w:val="00FB4CD3"/>
    <w:rsid w:val="00FC6357"/>
    <w:rsid w:val="00FD2081"/>
    <w:rsid w:val="00FE3D85"/>
    <w:rsid w:val="04227227"/>
    <w:rsid w:val="08B44039"/>
    <w:rsid w:val="0FB9621B"/>
    <w:rsid w:val="195F64B7"/>
    <w:rsid w:val="2074431D"/>
    <w:rsid w:val="2B625517"/>
    <w:rsid w:val="2E4B3F68"/>
    <w:rsid w:val="539161C5"/>
    <w:rsid w:val="554754C7"/>
    <w:rsid w:val="629C184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2EF4A-F8B9-4CDC-9EAC-AA7F37B50DFF}">
  <ds:schemaRefs/>
</ds:datastoreItem>
</file>

<file path=docProps/app.xml><?xml version="1.0" encoding="utf-8"?>
<Properties xmlns="http://schemas.openxmlformats.org/officeDocument/2006/extended-properties" xmlns:vt="http://schemas.openxmlformats.org/officeDocument/2006/docPropsVTypes">
  <Template>Normal</Template>
  <Pages>9</Pages>
  <Words>485</Words>
  <Characters>2766</Characters>
  <Lines>23</Lines>
  <Paragraphs>6</Paragraphs>
  <TotalTime>1235222528</TotalTime>
  <ScaleCrop>false</ScaleCrop>
  <LinksUpToDate>false</LinksUpToDate>
  <CharactersWithSpaces>3245</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2017-04-04T02:39:25Z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